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3FDA" w14:textId="54E6A217" w:rsidR="009E748D" w:rsidRDefault="009E748D" w:rsidP="009E748D">
      <w:pPr>
        <w:pStyle w:val="Heading1"/>
      </w:pPr>
      <w:r>
        <w:t>Well Identification:</w:t>
      </w:r>
    </w:p>
    <w:p w14:paraId="4846E812" w14:textId="0D70E9A8" w:rsidR="00750CED" w:rsidRPr="00750CED" w:rsidRDefault="008E3E00" w:rsidP="00750CED">
      <w:r>
        <w:rPr>
          <w:noProof/>
        </w:rPr>
        <w:drawing>
          <wp:inline distT="0" distB="0" distL="0" distR="0" wp14:anchorId="1EA58C7E" wp14:editId="500B7765">
            <wp:extent cx="5283472" cy="622332"/>
            <wp:effectExtent l="0" t="0" r="0" b="6350"/>
            <wp:docPr id="8628032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803246" name=""/>
                    <pic:cNvPicPr/>
                  </pic:nvPicPr>
                  <pic:blipFill>
                    <a:blip r:embed="rId8"/>
                    <a:stretch>
                      <a:fillRect/>
                    </a:stretch>
                  </pic:blipFill>
                  <pic:spPr>
                    <a:xfrm>
                      <a:off x="0" y="0"/>
                      <a:ext cx="5283472" cy="622332"/>
                    </a:xfrm>
                    <a:prstGeom prst="rect">
                      <a:avLst/>
                    </a:prstGeom>
                  </pic:spPr>
                </pic:pic>
              </a:graphicData>
            </a:graphic>
          </wp:inline>
        </w:drawing>
      </w:r>
    </w:p>
    <w:p w14:paraId="1DD91778" w14:textId="3AA4EAD4" w:rsidR="005211DD" w:rsidRDefault="005211DD" w:rsidP="005211DD">
      <w:pPr>
        <w:pStyle w:val="Heading1"/>
      </w:pPr>
      <w:r>
        <w:t>Overview</w:t>
      </w:r>
    </w:p>
    <w:p w14:paraId="7BB027C1" w14:textId="2D95957A" w:rsidR="005211DD" w:rsidRDefault="005211DD">
      <w:r>
        <w:t>Th</w:t>
      </w:r>
      <w:r w:rsidR="00EC4B2A">
        <w:t xml:space="preserve">e </w:t>
      </w:r>
      <w:r w:rsidR="008E3E00">
        <w:t>Phoenix 1</w:t>
      </w:r>
      <w:r>
        <w:t xml:space="preserve"> was </w:t>
      </w:r>
      <w:r w:rsidR="00D20A03">
        <w:t>spud</w:t>
      </w:r>
      <w:r>
        <w:t xml:space="preserve"> </w:t>
      </w:r>
      <w:r w:rsidR="00975A44">
        <w:t xml:space="preserve">as an exploratory well </w:t>
      </w:r>
      <w:r w:rsidR="00D20A03">
        <w:t>o</w:t>
      </w:r>
      <w:r>
        <w:t xml:space="preserve">n </w:t>
      </w:r>
      <w:r w:rsidR="008E3E00">
        <w:t>September 23</w:t>
      </w:r>
      <w:r w:rsidR="008E3E00" w:rsidRPr="008E3E00">
        <w:rPr>
          <w:vertAlign w:val="superscript"/>
        </w:rPr>
        <w:t>rd</w:t>
      </w:r>
      <w:r w:rsidR="00B0756C">
        <w:t>, 19</w:t>
      </w:r>
      <w:r w:rsidR="00184BB1">
        <w:t>8</w:t>
      </w:r>
      <w:r w:rsidR="008E3E00">
        <w:t>6</w:t>
      </w:r>
      <w:r>
        <w:t xml:space="preserve"> </w:t>
      </w:r>
      <w:r w:rsidR="00A9121C">
        <w:t xml:space="preserve">and located in the </w:t>
      </w:r>
      <w:r w:rsidR="0012198C">
        <w:t xml:space="preserve">Beaufort </w:t>
      </w:r>
      <w:r w:rsidR="00A9121C">
        <w:t>Sea of</w:t>
      </w:r>
      <w:r w:rsidR="0012198C">
        <w:t>f</w:t>
      </w:r>
      <w:r w:rsidR="00A9121C">
        <w:t xml:space="preserve"> the </w:t>
      </w:r>
      <w:r w:rsidR="0012198C">
        <w:t>North Slope</w:t>
      </w:r>
      <w:r w:rsidR="00A9121C">
        <w:t>.</w:t>
      </w:r>
      <w:r w:rsidR="00975A44">
        <w:t xml:space="preserve"> </w:t>
      </w:r>
      <w:r w:rsidR="00F25277">
        <w:t xml:space="preserve">The original wellbore was </w:t>
      </w:r>
      <w:r w:rsidR="003B154F">
        <w:t>drilled to total depth without incident</w:t>
      </w:r>
      <w:r w:rsidR="00F25277">
        <w:t xml:space="preserve">. </w:t>
      </w:r>
      <w:r w:rsidR="00975A44">
        <w:t>The operator reported hydrocarbons discovered at this location</w:t>
      </w:r>
      <w:r w:rsidR="0064297C">
        <w:t xml:space="preserve">, </w:t>
      </w:r>
      <w:r w:rsidR="0012198C">
        <w:t xml:space="preserve">and </w:t>
      </w:r>
      <w:r w:rsidR="00D73D6A">
        <w:t xml:space="preserve">the well </w:t>
      </w:r>
      <w:r w:rsidR="0012198C">
        <w:t>was</w:t>
      </w:r>
      <w:r w:rsidR="0064297C">
        <w:t xml:space="preserve"> plugged and abandoned</w:t>
      </w:r>
      <w:r w:rsidR="00975A44">
        <w:t>. The analytical data collection program included well logging</w:t>
      </w:r>
      <w:r w:rsidR="00783A15">
        <w:t xml:space="preserve"> by Schlumberger</w:t>
      </w:r>
      <w:r w:rsidR="00F25277">
        <w:t>, coring,</w:t>
      </w:r>
      <w:r w:rsidR="00975A44">
        <w:t xml:space="preserve"> and drill cutting samples</w:t>
      </w:r>
      <w:r w:rsidR="00783A15">
        <w:t xml:space="preserve"> collected by </w:t>
      </w:r>
      <w:r w:rsidR="00F25277">
        <w:t>Baroid</w:t>
      </w:r>
      <w:r w:rsidR="00975A44">
        <w:t>.</w:t>
      </w:r>
      <w:r w:rsidR="00A9121C">
        <w:t xml:space="preserve"> </w:t>
      </w:r>
      <w:r w:rsidR="00E136D9">
        <w:t xml:space="preserve"> </w:t>
      </w:r>
    </w:p>
    <w:p w14:paraId="3878DB5D" w14:textId="48EC6929" w:rsidR="000F41C6" w:rsidRDefault="00666790" w:rsidP="000F41C6">
      <w:pPr>
        <w:pStyle w:val="Heading1"/>
      </w:pPr>
      <w:r>
        <w:t xml:space="preserve">Geologic </w:t>
      </w:r>
      <w:r w:rsidR="000F41C6">
        <w:t>Intervals used for Analysis:</w:t>
      </w:r>
    </w:p>
    <w:p w14:paraId="1A90CB05" w14:textId="62801414" w:rsidR="00750CED" w:rsidRPr="00750CED" w:rsidRDefault="008E3E00" w:rsidP="00750CED">
      <w:r>
        <w:rPr>
          <w:noProof/>
        </w:rPr>
        <w:drawing>
          <wp:inline distT="0" distB="0" distL="0" distR="0" wp14:anchorId="09E03450" wp14:editId="7943864C">
            <wp:extent cx="5283472" cy="1384371"/>
            <wp:effectExtent l="0" t="0" r="0" b="6350"/>
            <wp:docPr id="2068894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894458" name=""/>
                    <pic:cNvPicPr/>
                  </pic:nvPicPr>
                  <pic:blipFill>
                    <a:blip r:embed="rId9"/>
                    <a:stretch>
                      <a:fillRect/>
                    </a:stretch>
                  </pic:blipFill>
                  <pic:spPr>
                    <a:xfrm>
                      <a:off x="0" y="0"/>
                      <a:ext cx="5283472" cy="1384371"/>
                    </a:xfrm>
                    <a:prstGeom prst="rect">
                      <a:avLst/>
                    </a:prstGeom>
                  </pic:spPr>
                </pic:pic>
              </a:graphicData>
            </a:graphic>
          </wp:inline>
        </w:drawing>
      </w:r>
    </w:p>
    <w:p w14:paraId="77210267" w14:textId="77777777" w:rsidR="0017370A" w:rsidRDefault="0017370A" w:rsidP="0017370A">
      <w:pPr>
        <w:pStyle w:val="Heading1"/>
      </w:pPr>
      <w:r>
        <w:t>Logging Runs and Parameters:</w:t>
      </w:r>
    </w:p>
    <w:p w14:paraId="4866214E" w14:textId="20255CE5" w:rsidR="0017370A" w:rsidRPr="00787B43" w:rsidRDefault="008E3E00" w:rsidP="0017370A">
      <w:r>
        <w:rPr>
          <w:noProof/>
        </w:rPr>
        <w:drawing>
          <wp:inline distT="0" distB="0" distL="0" distR="0" wp14:anchorId="62237A61" wp14:editId="558310B9">
            <wp:extent cx="5943600" cy="765175"/>
            <wp:effectExtent l="0" t="0" r="0" b="0"/>
            <wp:docPr id="277198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198295" name=""/>
                    <pic:cNvPicPr/>
                  </pic:nvPicPr>
                  <pic:blipFill>
                    <a:blip r:embed="rId10"/>
                    <a:stretch>
                      <a:fillRect/>
                    </a:stretch>
                  </pic:blipFill>
                  <pic:spPr>
                    <a:xfrm>
                      <a:off x="0" y="0"/>
                      <a:ext cx="5943600" cy="765175"/>
                    </a:xfrm>
                    <a:prstGeom prst="rect">
                      <a:avLst/>
                    </a:prstGeom>
                  </pic:spPr>
                </pic:pic>
              </a:graphicData>
            </a:graphic>
          </wp:inline>
        </w:drawing>
      </w:r>
    </w:p>
    <w:p w14:paraId="0F29FE31" w14:textId="0BACD918" w:rsidR="0017370A" w:rsidRDefault="0017370A" w:rsidP="0017370A">
      <w:pPr>
        <w:pStyle w:val="Heading1"/>
      </w:pPr>
      <w:r>
        <w:t>Cor</w:t>
      </w:r>
      <w:r w:rsidR="00736B77">
        <w:t>ed</w:t>
      </w:r>
      <w:r>
        <w:t xml:space="preserve"> Intervals and </w:t>
      </w:r>
      <w:r w:rsidR="00736B77">
        <w:t xml:space="preserve">Sample </w:t>
      </w:r>
      <w:r>
        <w:t>Analysis:</w:t>
      </w:r>
    </w:p>
    <w:p w14:paraId="59094D3B" w14:textId="7352332D" w:rsidR="0017370A" w:rsidRPr="00787B43" w:rsidRDefault="008E3E00" w:rsidP="0017370A">
      <w:r>
        <w:rPr>
          <w:noProof/>
        </w:rPr>
        <w:drawing>
          <wp:inline distT="0" distB="0" distL="0" distR="0" wp14:anchorId="212A785F" wp14:editId="755892ED">
            <wp:extent cx="3626036" cy="2457576"/>
            <wp:effectExtent l="0" t="0" r="0" b="0"/>
            <wp:docPr id="13246484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48461" name=""/>
                    <pic:cNvPicPr/>
                  </pic:nvPicPr>
                  <pic:blipFill>
                    <a:blip r:embed="rId11"/>
                    <a:stretch>
                      <a:fillRect/>
                    </a:stretch>
                  </pic:blipFill>
                  <pic:spPr>
                    <a:xfrm>
                      <a:off x="0" y="0"/>
                      <a:ext cx="3626036" cy="2457576"/>
                    </a:xfrm>
                    <a:prstGeom prst="rect">
                      <a:avLst/>
                    </a:prstGeom>
                  </pic:spPr>
                </pic:pic>
              </a:graphicData>
            </a:graphic>
          </wp:inline>
        </w:drawing>
      </w:r>
    </w:p>
    <w:p w14:paraId="2AD9E05E" w14:textId="225C3ADD" w:rsidR="005211DD" w:rsidRDefault="005211DD" w:rsidP="000F41C6">
      <w:pPr>
        <w:pStyle w:val="Heading1"/>
      </w:pPr>
      <w:r>
        <w:lastRenderedPageBreak/>
        <w:t xml:space="preserve">Log </w:t>
      </w:r>
      <w:r w:rsidR="0017370A">
        <w:t>D</w:t>
      </w:r>
      <w:r>
        <w:t>iscussion</w:t>
      </w:r>
      <w:r w:rsidR="000F41C6">
        <w:t>:</w:t>
      </w:r>
    </w:p>
    <w:p w14:paraId="536F5353" w14:textId="0D833AD9" w:rsidR="005211DD" w:rsidRDefault="009036D1" w:rsidP="00666790">
      <w:r w:rsidRPr="009036D1">
        <w:t xml:space="preserve">The </w:t>
      </w:r>
      <w:r w:rsidR="008E3E00">
        <w:t>Phoenix 1</w:t>
      </w:r>
      <w:r w:rsidRPr="009036D1">
        <w:t xml:space="preserve"> well </w:t>
      </w:r>
      <w:r>
        <w:t>was drilled and logged</w:t>
      </w:r>
      <w:r w:rsidRPr="009036D1">
        <w:t xml:space="preserve"> with water-based drilling fluid </w:t>
      </w:r>
      <w:r>
        <w:t>containing</w:t>
      </w:r>
      <w:r w:rsidRPr="009036D1">
        <w:t xml:space="preserve"> Barite</w:t>
      </w:r>
      <w:r>
        <w:t xml:space="preserve"> weighting material</w:t>
      </w:r>
      <w:r w:rsidRPr="009036D1">
        <w:t xml:space="preserve"> </w:t>
      </w:r>
      <w:r w:rsidR="00CD0C2A">
        <w:t>to total depth</w:t>
      </w:r>
      <w:r w:rsidRPr="009036D1">
        <w:t xml:space="preserve">. </w:t>
      </w:r>
      <w:r>
        <w:t>S</w:t>
      </w:r>
      <w:r w:rsidRPr="009036D1">
        <w:t xml:space="preserve">ubsequent borehole sections were drilled with </w:t>
      </w:r>
      <w:r w:rsidR="00CD0C2A">
        <w:t>additional</w:t>
      </w:r>
      <w:r w:rsidRPr="009036D1">
        <w:t xml:space="preserve"> Barite</w:t>
      </w:r>
      <w:r>
        <w:t xml:space="preserve"> to increase the </w:t>
      </w:r>
      <w:r w:rsidR="005F3E90">
        <w:t xml:space="preserve">borehole </w:t>
      </w:r>
      <w:r>
        <w:t>fluid pressure overbalance</w:t>
      </w:r>
      <w:r w:rsidRPr="009036D1">
        <w:t>. All borehole sections required environmental corrections for hole size</w:t>
      </w:r>
      <w:r>
        <w:t>, temperature, pressure,</w:t>
      </w:r>
      <w:r w:rsidRPr="009036D1">
        <w:t xml:space="preserve"> and mud weight additives.</w:t>
      </w:r>
      <w:r>
        <w:t xml:space="preserve"> </w:t>
      </w:r>
      <w:r w:rsidR="00666790">
        <w:t xml:space="preserve"> </w:t>
      </w:r>
      <w:r>
        <w:t xml:space="preserve"> </w:t>
      </w:r>
    </w:p>
    <w:p w14:paraId="5579FFD7" w14:textId="592D1FD4" w:rsidR="005211DD" w:rsidRDefault="00783A15" w:rsidP="000F41C6">
      <w:pPr>
        <w:pStyle w:val="Heading1"/>
      </w:pPr>
      <w:r>
        <w:t xml:space="preserve">Environmental </w:t>
      </w:r>
      <w:r w:rsidR="005211DD">
        <w:t>Corrections:</w:t>
      </w:r>
    </w:p>
    <w:p w14:paraId="175349F1" w14:textId="0AB2994B" w:rsidR="008B4A41" w:rsidRDefault="00FA0286" w:rsidP="008B4A41">
      <w:r>
        <w:t xml:space="preserve">The Schlumberger </w:t>
      </w:r>
      <w:r w:rsidR="005F3E90">
        <w:t>2000 Edition</w:t>
      </w:r>
      <w:r>
        <w:t xml:space="preserve"> chartbook was used to correct the logs</w:t>
      </w:r>
      <w:r w:rsidRPr="00FA0286">
        <w:t xml:space="preserve"> </w:t>
      </w:r>
      <w:r>
        <w:t xml:space="preserve">for borehole size, temperature, pressure, and drilling mud additives. </w:t>
      </w:r>
      <w:r w:rsidR="008B4A41">
        <w:t>The Gamma Ray</w:t>
      </w:r>
      <w:r w:rsidR="00783A15">
        <w:t xml:space="preserve"> </w:t>
      </w:r>
      <w:r>
        <w:t xml:space="preserve">log </w:t>
      </w:r>
      <w:r w:rsidR="00783A15">
        <w:t>was corrected using</w:t>
      </w:r>
      <w:r>
        <w:t xml:space="preserve"> chart GR-1.</w:t>
      </w:r>
      <w:r w:rsidR="008B4A41">
        <w:t xml:space="preserve"> </w:t>
      </w:r>
      <w:r>
        <w:t xml:space="preserve">Compensated </w:t>
      </w:r>
      <w:r w:rsidR="008B4A41">
        <w:t>Neutron</w:t>
      </w:r>
      <w:r>
        <w:t xml:space="preserve"> log </w:t>
      </w:r>
      <w:r w:rsidR="000960A7">
        <w:t>was</w:t>
      </w:r>
      <w:r>
        <w:t xml:space="preserve"> corrected using Por-14c and Por -14d.</w:t>
      </w:r>
      <w:r w:rsidR="008B4A41">
        <w:t xml:space="preserve"> </w:t>
      </w:r>
      <w:r>
        <w:t xml:space="preserve">Dual Laterolog </w:t>
      </w:r>
      <w:r w:rsidR="008B4A41">
        <w:t>Resistivity logs were corrected</w:t>
      </w:r>
      <w:r>
        <w:t xml:space="preserve"> using Rcor-2c and invasion corrected using </w:t>
      </w:r>
      <w:r w:rsidR="000960A7">
        <w:t>Rint-9b. Dual Induction logs were corrected using Rcor-4a and invasion corrected using Rint-10.</w:t>
      </w:r>
      <w:r w:rsidR="008B4A41">
        <w:t xml:space="preserve"> </w:t>
      </w:r>
    </w:p>
    <w:p w14:paraId="38ABBE84" w14:textId="76753096" w:rsidR="0017370A" w:rsidRDefault="00157E5D" w:rsidP="0017370A">
      <w:r>
        <w:t>Significant</w:t>
      </w:r>
      <w:r w:rsidR="0017370A">
        <w:t xml:space="preserve"> caliper enlargements were observed in various sections of the well, in cases where the borehole caliper readings were above the correction charts, the maximum chart correction was applied, however these corrections under </w:t>
      </w:r>
      <w:r w:rsidR="00BB2645">
        <w:t>estimate</w:t>
      </w:r>
      <w:r w:rsidR="0017370A">
        <w:t xml:space="preserve"> the true formation measurement.</w:t>
      </w:r>
    </w:p>
    <w:p w14:paraId="7741F6F3" w14:textId="5B1500B5" w:rsidR="0017370A" w:rsidRPr="008B4A41" w:rsidRDefault="0017370A" w:rsidP="0017370A">
      <w:r>
        <w:t>The bulk density measurement was the most environmentally affected log in the dataset, where the density log readings measured drilling fluid when the caliper reading exceed 16 inches. Repair of the density log utilized a Gardner et al. (1974) sonic to density transform.</w:t>
      </w:r>
    </w:p>
    <w:p w14:paraId="7ABD9FCB" w14:textId="6F01131B" w:rsidR="00C94A4B" w:rsidRPr="00F670FF" w:rsidRDefault="0017370A" w:rsidP="00C94A4B">
      <w:pPr>
        <w:pStyle w:val="Heading2"/>
        <w:rPr>
          <w:sz w:val="24"/>
          <w:szCs w:val="24"/>
        </w:rPr>
      </w:pPr>
      <w:r w:rsidRPr="00F670FF">
        <w:rPr>
          <w:sz w:val="24"/>
          <w:szCs w:val="24"/>
        </w:rPr>
        <w:t xml:space="preserve">Observations </w:t>
      </w:r>
      <w:r w:rsidR="00C94A4B" w:rsidRPr="00F670FF">
        <w:rPr>
          <w:sz w:val="24"/>
          <w:szCs w:val="24"/>
        </w:rPr>
        <w:t>Logged Interval</w:t>
      </w:r>
    </w:p>
    <w:p w14:paraId="57A82D4D" w14:textId="5173D0A9" w:rsidR="00C94A4B" w:rsidRPr="00CC47E9" w:rsidRDefault="005F3E90" w:rsidP="00C94A4B">
      <w:pPr>
        <w:rPr>
          <w:b/>
          <w:vertAlign w:val="superscript"/>
        </w:rPr>
      </w:pPr>
      <w:r>
        <w:t xml:space="preserve">Observed </w:t>
      </w:r>
      <w:r w:rsidR="008E3E00">
        <w:t>significant</w:t>
      </w:r>
      <w:r>
        <w:t xml:space="preserve"> caliper reading</w:t>
      </w:r>
      <w:r w:rsidR="0022099F">
        <w:t>s</w:t>
      </w:r>
      <w:r w:rsidR="00F92D29">
        <w:t xml:space="preserve"> </w:t>
      </w:r>
      <w:r w:rsidR="00D33D94">
        <w:t xml:space="preserve">in </w:t>
      </w:r>
      <w:r w:rsidR="008E3E00">
        <w:t xml:space="preserve">upper section of </w:t>
      </w:r>
      <w:r w:rsidR="00D33D94">
        <w:t xml:space="preserve">the well </w:t>
      </w:r>
      <w:r w:rsidR="00F92D29">
        <w:t>where density log was affected</w:t>
      </w:r>
      <w:r>
        <w:t xml:space="preserve">, the logged interval showed </w:t>
      </w:r>
      <w:r w:rsidR="0022099F">
        <w:t xml:space="preserve">the </w:t>
      </w:r>
      <w:r>
        <w:t>b</w:t>
      </w:r>
      <w:r w:rsidR="007438BF">
        <w:t>ulk density</w:t>
      </w:r>
      <w:r>
        <w:t xml:space="preserve"> required</w:t>
      </w:r>
      <w:r w:rsidR="00DF44E0">
        <w:t xml:space="preserve"> </w:t>
      </w:r>
      <w:r w:rsidR="00C838C4">
        <w:t xml:space="preserve">some </w:t>
      </w:r>
      <w:r>
        <w:t xml:space="preserve">editing using the </w:t>
      </w:r>
      <w:r w:rsidR="00385E9A">
        <w:t>Gardner</w:t>
      </w:r>
      <w:r w:rsidR="00385E9A" w:rsidRPr="00385E9A">
        <w:rPr>
          <w:b/>
          <w:bCs/>
          <w:vertAlign w:val="superscript"/>
        </w:rPr>
        <w:t>1</w:t>
      </w:r>
      <w:r w:rsidR="00385E9A">
        <w:t xml:space="preserve"> </w:t>
      </w:r>
      <w:r>
        <w:t>density transform.</w:t>
      </w:r>
      <w:r w:rsidR="000743CB">
        <w:t xml:space="preserve"> Sonic log data was compared to the Faust</w:t>
      </w:r>
      <w:r w:rsidR="000743CB">
        <w:rPr>
          <w:b/>
          <w:bCs/>
          <w:vertAlign w:val="superscript"/>
        </w:rPr>
        <w:t>4</w:t>
      </w:r>
      <w:r w:rsidR="00CC47E9">
        <w:t xml:space="preserve"> </w:t>
      </w:r>
      <w:r w:rsidR="000743CB">
        <w:t>velocity transform to correct</w:t>
      </w:r>
      <w:r w:rsidR="00CC47E9">
        <w:t xml:space="preserve"> </w:t>
      </w:r>
      <w:r w:rsidR="000743CB">
        <w:t xml:space="preserve">anomalies </w:t>
      </w:r>
      <w:r w:rsidR="00DF44E0">
        <w:t>for any</w:t>
      </w:r>
      <w:r w:rsidR="000743CB">
        <w:t xml:space="preserve"> borehole washouts.</w:t>
      </w:r>
      <w:r w:rsidR="00437413">
        <w:t xml:space="preserve"> Logged intervals where the bulk density was not present the delta-t sonic was used as the porosity model input to the final computed results.</w:t>
      </w:r>
    </w:p>
    <w:p w14:paraId="7202B404" w14:textId="4030CC09" w:rsidR="0072709C" w:rsidRPr="00F670FF" w:rsidRDefault="00C94A4B" w:rsidP="00F670FF">
      <w:pPr>
        <w:pStyle w:val="Heading2"/>
        <w:rPr>
          <w:sz w:val="24"/>
          <w:szCs w:val="24"/>
        </w:rPr>
      </w:pPr>
      <w:r w:rsidRPr="00F670FF">
        <w:rPr>
          <w:sz w:val="24"/>
          <w:szCs w:val="24"/>
        </w:rPr>
        <w:t>References</w:t>
      </w:r>
    </w:p>
    <w:p w14:paraId="71DC8251" w14:textId="77777777" w:rsidR="00F670FF" w:rsidRDefault="00F670FF" w:rsidP="00F670FF">
      <w:pPr>
        <w:pStyle w:val="ListParagraph"/>
        <w:numPr>
          <w:ilvl w:val="0"/>
          <w:numId w:val="2"/>
        </w:numPr>
        <w:ind w:left="360"/>
      </w:pPr>
      <w:r w:rsidRPr="00F670FF">
        <w:t>Gardner et al., 1974, Formation velocity and density—the diagnostic basics for stratigraphic traps Geophysics, 39 (6) (1974), pp. 770-780</w:t>
      </w:r>
    </w:p>
    <w:p w14:paraId="5AF16523" w14:textId="77777777" w:rsidR="00F670FF" w:rsidRDefault="00F670FF" w:rsidP="00F670FF">
      <w:pPr>
        <w:pStyle w:val="ListParagraph"/>
        <w:numPr>
          <w:ilvl w:val="0"/>
          <w:numId w:val="2"/>
        </w:numPr>
        <w:ind w:left="360"/>
      </w:pPr>
      <w:r w:rsidRPr="00F670FF">
        <w:t>Graton, L. C., and H. J. Fraser, 1935, Systematic packing of spheres with particular reference to porosity and permeability: Journal of Geology, v. 43, p. 785–909, DOI: 10.1086/jg.1935.43.issue-8</w:t>
      </w:r>
    </w:p>
    <w:p w14:paraId="2C4A5040" w14:textId="3380455A" w:rsidR="00F670FF" w:rsidRDefault="00F670FF" w:rsidP="00F670FF">
      <w:pPr>
        <w:pStyle w:val="ListParagraph"/>
        <w:numPr>
          <w:ilvl w:val="0"/>
          <w:numId w:val="2"/>
        </w:numPr>
        <w:ind w:left="360"/>
      </w:pPr>
      <w:bookmarkStart w:id="0" w:name="_Hlk179231229"/>
      <w:r w:rsidRPr="00F670FF">
        <w:t>Carmichael</w:t>
      </w:r>
      <w:bookmarkEnd w:id="0"/>
      <w:r w:rsidRPr="00F670FF">
        <w:t>, R.S. ed. 1982. Handbook of Physical Properties of Rocks, Vol. 2, 1-228. Boca Raton, Florida: CRC Press Inc.</w:t>
      </w:r>
    </w:p>
    <w:p w14:paraId="20BB8DB0" w14:textId="61118418" w:rsidR="00C548D4" w:rsidRPr="00F670FF" w:rsidRDefault="00BE7ED6" w:rsidP="007645A0">
      <w:pPr>
        <w:pStyle w:val="ListParagraph"/>
        <w:numPr>
          <w:ilvl w:val="0"/>
          <w:numId w:val="2"/>
        </w:numPr>
        <w:ind w:left="360"/>
      </w:pPr>
      <w:r w:rsidRPr="00BE7ED6">
        <w:t>L. Y. Faust, “A Velocity Function Including Lithologic Variation,” Geophysics, Vol. 18, No. 2, 1953, pp. 271-288.</w:t>
      </w:r>
    </w:p>
    <w:p w14:paraId="2772DDD3" w14:textId="6675223F" w:rsidR="00BB76DE" w:rsidRDefault="00671D40" w:rsidP="00D66938">
      <w:pPr>
        <w:pStyle w:val="Heading1"/>
      </w:pPr>
      <w:r>
        <w:t xml:space="preserve">Summation </w:t>
      </w:r>
      <w:r w:rsidR="000F41C6">
        <w:t>Re</w:t>
      </w:r>
      <w:r>
        <w:t>port</w:t>
      </w:r>
      <w:r w:rsidR="000F41C6">
        <w:t>:</w:t>
      </w:r>
    </w:p>
    <w:p w14:paraId="583E1CB1" w14:textId="5492904D" w:rsidR="00C7505D" w:rsidRDefault="00101961" w:rsidP="00C7505D">
      <w:r>
        <w:rPr>
          <w:noProof/>
        </w:rPr>
        <w:drawing>
          <wp:inline distT="0" distB="0" distL="0" distR="0" wp14:anchorId="64186C7E" wp14:editId="180709D3">
            <wp:extent cx="5613689" cy="469924"/>
            <wp:effectExtent l="0" t="0" r="6350" b="6350"/>
            <wp:docPr id="1151470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470848" name=""/>
                    <pic:cNvPicPr/>
                  </pic:nvPicPr>
                  <pic:blipFill>
                    <a:blip r:embed="rId12"/>
                    <a:stretch>
                      <a:fillRect/>
                    </a:stretch>
                  </pic:blipFill>
                  <pic:spPr>
                    <a:xfrm>
                      <a:off x="0" y="0"/>
                      <a:ext cx="5613689" cy="469924"/>
                    </a:xfrm>
                    <a:prstGeom prst="rect">
                      <a:avLst/>
                    </a:prstGeom>
                  </pic:spPr>
                </pic:pic>
              </a:graphicData>
            </a:graphic>
          </wp:inline>
        </w:drawing>
      </w:r>
    </w:p>
    <w:p w14:paraId="00E14B97" w14:textId="1536B2D7" w:rsidR="00C7505D" w:rsidRDefault="00C7505D" w:rsidP="00C7505D">
      <w:r>
        <w:t xml:space="preserve">Reservoir summary cut off values used were porosity greater than </w:t>
      </w:r>
      <w:r w:rsidR="00EC6CA9">
        <w:t>1</w:t>
      </w:r>
      <w:r>
        <w:t>0% (PHIE &gt; 0.</w:t>
      </w:r>
      <w:r w:rsidR="00EC6CA9">
        <w:t>1</w:t>
      </w:r>
      <w:r>
        <w:t xml:space="preserve">), shale volume less than </w:t>
      </w:r>
      <w:r w:rsidR="00EC6CA9">
        <w:t>5</w:t>
      </w:r>
      <w:r>
        <w:t>0% (VSHALE &lt; 0.</w:t>
      </w:r>
      <w:r w:rsidR="00EC6CA9">
        <w:t>5</w:t>
      </w:r>
      <w:r>
        <w:t>), and water saturation less than 50% (SW &lt; 0.5).</w:t>
      </w:r>
    </w:p>
    <w:p w14:paraId="5D26C94B" w14:textId="77777777" w:rsidR="00DF44E0" w:rsidRDefault="00DF44E0" w:rsidP="00C7505D"/>
    <w:p w14:paraId="659270ED" w14:textId="77777777" w:rsidR="00101961" w:rsidRDefault="00D66938" w:rsidP="00DF44E0">
      <w:pPr>
        <w:pStyle w:val="Heading1"/>
      </w:pPr>
      <w:r>
        <w:lastRenderedPageBreak/>
        <w:t xml:space="preserve">Core versus Log </w:t>
      </w:r>
      <w:r w:rsidR="00493A38">
        <w:t xml:space="preserve">Porosity </w:t>
      </w:r>
      <w:r w:rsidR="00BB76DE">
        <w:t>Crossplot</w:t>
      </w:r>
      <w:r w:rsidR="0091372A">
        <w:t>:</w:t>
      </w:r>
    </w:p>
    <w:p w14:paraId="554139D3" w14:textId="3E031C66" w:rsidR="00BB76DE" w:rsidRDefault="00D33BCC" w:rsidP="00DF44E0">
      <w:pPr>
        <w:pStyle w:val="Heading1"/>
      </w:pPr>
      <w:r w:rsidRPr="00D33BCC">
        <w:rPr>
          <w:b w:val="0"/>
          <w:bCs w:val="0"/>
          <w:noProof/>
        </w:rPr>
        <w:t xml:space="preserve"> </w:t>
      </w:r>
      <w:r w:rsidR="00101961" w:rsidRPr="00101961">
        <w:rPr>
          <w:noProof/>
        </w:rPr>
        <w:drawing>
          <wp:inline distT="0" distB="0" distL="0" distR="0" wp14:anchorId="00DA7F7A" wp14:editId="507BCDEA">
            <wp:extent cx="4876800" cy="7604314"/>
            <wp:effectExtent l="0" t="0" r="0" b="0"/>
            <wp:docPr id="19065137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r="32396" b="32969"/>
                    <a:stretch>
                      <a:fillRect/>
                    </a:stretch>
                  </pic:blipFill>
                  <pic:spPr bwMode="auto">
                    <a:xfrm>
                      <a:off x="0" y="0"/>
                      <a:ext cx="4882063" cy="7612521"/>
                    </a:xfrm>
                    <a:prstGeom prst="rect">
                      <a:avLst/>
                    </a:prstGeom>
                    <a:noFill/>
                    <a:ln>
                      <a:noFill/>
                    </a:ln>
                    <a:extLst>
                      <a:ext uri="{53640926-AAD7-44D8-BBD7-CCE9431645EC}">
                        <a14:shadowObscured xmlns:a14="http://schemas.microsoft.com/office/drawing/2010/main"/>
                      </a:ext>
                    </a:extLst>
                  </pic:spPr>
                </pic:pic>
              </a:graphicData>
            </a:graphic>
          </wp:inline>
        </w:drawing>
      </w:r>
    </w:p>
    <w:p w14:paraId="50DEC23B" w14:textId="77777777" w:rsidR="00265609" w:rsidRPr="00265609" w:rsidRDefault="00265609" w:rsidP="00265609"/>
    <w:p w14:paraId="75235FEE" w14:textId="77777777" w:rsidR="00D33BCC" w:rsidRDefault="00626D6B" w:rsidP="00DF44E0">
      <w:pPr>
        <w:pStyle w:val="Heading1"/>
      </w:pPr>
      <w:r>
        <w:lastRenderedPageBreak/>
        <w:t>Summary Plot:</w:t>
      </w:r>
    </w:p>
    <w:p w14:paraId="4FB30D5A" w14:textId="23023975" w:rsidR="00844B9B" w:rsidRPr="00844B9B" w:rsidRDefault="00101961" w:rsidP="00DF44E0">
      <w:pPr>
        <w:pStyle w:val="Heading1"/>
      </w:pPr>
      <w:r>
        <w:rPr>
          <w:noProof/>
        </w:rPr>
        <w:drawing>
          <wp:inline distT="0" distB="0" distL="0" distR="0" wp14:anchorId="57949189" wp14:editId="1DA6CC8F">
            <wp:extent cx="5943600" cy="7534910"/>
            <wp:effectExtent l="0" t="0" r="0" b="8890"/>
            <wp:docPr id="1213646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646491" name=""/>
                    <pic:cNvPicPr/>
                  </pic:nvPicPr>
                  <pic:blipFill>
                    <a:blip r:embed="rId14"/>
                    <a:stretch>
                      <a:fillRect/>
                    </a:stretch>
                  </pic:blipFill>
                  <pic:spPr>
                    <a:xfrm>
                      <a:off x="0" y="0"/>
                      <a:ext cx="5943600" cy="7534910"/>
                    </a:xfrm>
                    <a:prstGeom prst="rect">
                      <a:avLst/>
                    </a:prstGeom>
                  </pic:spPr>
                </pic:pic>
              </a:graphicData>
            </a:graphic>
          </wp:inline>
        </w:drawing>
      </w:r>
    </w:p>
    <w:sectPr w:rsidR="00844B9B" w:rsidRPr="00844B9B">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7E95D" w14:textId="77777777" w:rsidR="006F2918" w:rsidRDefault="006F2918" w:rsidP="005211DD">
      <w:pPr>
        <w:spacing w:after="0" w:line="240" w:lineRule="auto"/>
      </w:pPr>
      <w:r>
        <w:separator/>
      </w:r>
    </w:p>
  </w:endnote>
  <w:endnote w:type="continuationSeparator" w:id="0">
    <w:p w14:paraId="5D74E0E4" w14:textId="77777777" w:rsidR="006F2918" w:rsidRDefault="006F2918" w:rsidP="00521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EE7C" w14:textId="7170BA51" w:rsidR="005211DD" w:rsidRDefault="005211DD">
    <w:pPr>
      <w:pStyle w:val="Footer"/>
    </w:pPr>
    <w:r>
      <w:t>Report Date:</w:t>
    </w:r>
  </w:p>
  <w:p w14:paraId="5E887C71" w14:textId="77777777" w:rsidR="005211DD" w:rsidRDefault="00521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FA2FC" w14:textId="77777777" w:rsidR="006F2918" w:rsidRDefault="006F2918" w:rsidP="005211DD">
      <w:pPr>
        <w:spacing w:after="0" w:line="240" w:lineRule="auto"/>
      </w:pPr>
      <w:r>
        <w:separator/>
      </w:r>
    </w:p>
  </w:footnote>
  <w:footnote w:type="continuationSeparator" w:id="0">
    <w:p w14:paraId="1AAB77E8" w14:textId="77777777" w:rsidR="006F2918" w:rsidRDefault="006F2918" w:rsidP="00521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B504B" w14:textId="2BD411AF" w:rsidR="005211DD" w:rsidRDefault="005211DD">
    <w:pPr>
      <w:pStyle w:val="Header"/>
    </w:pPr>
    <w:r>
      <w:t>202</w:t>
    </w:r>
    <w:r w:rsidR="00DE58AF">
      <w:t>6</w:t>
    </w:r>
    <w:r>
      <w:t xml:space="preserve"> Alaska Petrophysical Contract</w:t>
    </w:r>
    <w:r>
      <w:tab/>
    </w:r>
    <w:r>
      <w:tab/>
      <w:t>RPS/TetraTech</w:t>
    </w:r>
  </w:p>
  <w:p w14:paraId="3AE22D80" w14:textId="34216A8A" w:rsidR="005211DD" w:rsidRDefault="005211DD">
    <w:pPr>
      <w:pStyle w:val="Header"/>
    </w:pPr>
    <w:r>
      <w:t>Contract #</w:t>
    </w:r>
    <w:r>
      <w:tab/>
    </w:r>
    <w:r>
      <w:tab/>
      <w:t>Derek Buster/Petroforensics</w:t>
    </w:r>
  </w:p>
  <w:p w14:paraId="235829A3" w14:textId="77777777" w:rsidR="005211DD" w:rsidRDefault="00521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A24B1"/>
    <w:multiLevelType w:val="hybridMultilevel"/>
    <w:tmpl w:val="B8040D18"/>
    <w:lvl w:ilvl="0" w:tplc="A4E45A66">
      <w:start w:val="1"/>
      <w:numFmt w:val="decimal"/>
      <w:lvlText w:val="%1."/>
      <w:lvlJc w:val="left"/>
      <w:pPr>
        <w:tabs>
          <w:tab w:val="num" w:pos="720"/>
        </w:tabs>
        <w:ind w:left="720" w:hanging="360"/>
      </w:pPr>
    </w:lvl>
    <w:lvl w:ilvl="1" w:tplc="89808B48" w:tentative="1">
      <w:start w:val="1"/>
      <w:numFmt w:val="decimal"/>
      <w:lvlText w:val="%2."/>
      <w:lvlJc w:val="left"/>
      <w:pPr>
        <w:tabs>
          <w:tab w:val="num" w:pos="1440"/>
        </w:tabs>
        <w:ind w:left="1440" w:hanging="360"/>
      </w:pPr>
    </w:lvl>
    <w:lvl w:ilvl="2" w:tplc="C142B466" w:tentative="1">
      <w:start w:val="1"/>
      <w:numFmt w:val="decimal"/>
      <w:lvlText w:val="%3."/>
      <w:lvlJc w:val="left"/>
      <w:pPr>
        <w:tabs>
          <w:tab w:val="num" w:pos="2160"/>
        </w:tabs>
        <w:ind w:left="2160" w:hanging="360"/>
      </w:pPr>
    </w:lvl>
    <w:lvl w:ilvl="3" w:tplc="499681C0" w:tentative="1">
      <w:start w:val="1"/>
      <w:numFmt w:val="decimal"/>
      <w:lvlText w:val="%4."/>
      <w:lvlJc w:val="left"/>
      <w:pPr>
        <w:tabs>
          <w:tab w:val="num" w:pos="2880"/>
        </w:tabs>
        <w:ind w:left="2880" w:hanging="360"/>
      </w:pPr>
    </w:lvl>
    <w:lvl w:ilvl="4" w:tplc="1BFCD9EE" w:tentative="1">
      <w:start w:val="1"/>
      <w:numFmt w:val="decimal"/>
      <w:lvlText w:val="%5."/>
      <w:lvlJc w:val="left"/>
      <w:pPr>
        <w:tabs>
          <w:tab w:val="num" w:pos="3600"/>
        </w:tabs>
        <w:ind w:left="3600" w:hanging="360"/>
      </w:pPr>
    </w:lvl>
    <w:lvl w:ilvl="5" w:tplc="01FEE5DE" w:tentative="1">
      <w:start w:val="1"/>
      <w:numFmt w:val="decimal"/>
      <w:lvlText w:val="%6."/>
      <w:lvlJc w:val="left"/>
      <w:pPr>
        <w:tabs>
          <w:tab w:val="num" w:pos="4320"/>
        </w:tabs>
        <w:ind w:left="4320" w:hanging="360"/>
      </w:pPr>
    </w:lvl>
    <w:lvl w:ilvl="6" w:tplc="2E909198" w:tentative="1">
      <w:start w:val="1"/>
      <w:numFmt w:val="decimal"/>
      <w:lvlText w:val="%7."/>
      <w:lvlJc w:val="left"/>
      <w:pPr>
        <w:tabs>
          <w:tab w:val="num" w:pos="5040"/>
        </w:tabs>
        <w:ind w:left="5040" w:hanging="360"/>
      </w:pPr>
    </w:lvl>
    <w:lvl w:ilvl="7" w:tplc="106A2A02" w:tentative="1">
      <w:start w:val="1"/>
      <w:numFmt w:val="decimal"/>
      <w:lvlText w:val="%8."/>
      <w:lvlJc w:val="left"/>
      <w:pPr>
        <w:tabs>
          <w:tab w:val="num" w:pos="5760"/>
        </w:tabs>
        <w:ind w:left="5760" w:hanging="360"/>
      </w:pPr>
    </w:lvl>
    <w:lvl w:ilvl="8" w:tplc="E81AC466" w:tentative="1">
      <w:start w:val="1"/>
      <w:numFmt w:val="decimal"/>
      <w:lvlText w:val="%9."/>
      <w:lvlJc w:val="left"/>
      <w:pPr>
        <w:tabs>
          <w:tab w:val="num" w:pos="6480"/>
        </w:tabs>
        <w:ind w:left="6480" w:hanging="360"/>
      </w:pPr>
    </w:lvl>
  </w:abstractNum>
  <w:abstractNum w:abstractNumId="1" w15:restartNumberingAfterBreak="0">
    <w:nsid w:val="50B324A6"/>
    <w:multiLevelType w:val="hybridMultilevel"/>
    <w:tmpl w:val="3A240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918980">
    <w:abstractNumId w:val="0"/>
  </w:num>
  <w:num w:numId="2" w16cid:durableId="575676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DD"/>
    <w:rsid w:val="000125CF"/>
    <w:rsid w:val="00025798"/>
    <w:rsid w:val="00064B36"/>
    <w:rsid w:val="000743CB"/>
    <w:rsid w:val="000960A7"/>
    <w:rsid w:val="000A7868"/>
    <w:rsid w:val="000D2350"/>
    <w:rsid w:val="000E7393"/>
    <w:rsid w:val="000F27DD"/>
    <w:rsid w:val="000F41C6"/>
    <w:rsid w:val="00101961"/>
    <w:rsid w:val="0010399D"/>
    <w:rsid w:val="0012198C"/>
    <w:rsid w:val="00124287"/>
    <w:rsid w:val="00127DFC"/>
    <w:rsid w:val="00157E5D"/>
    <w:rsid w:val="00161B41"/>
    <w:rsid w:val="0016627E"/>
    <w:rsid w:val="0017370A"/>
    <w:rsid w:val="00184BB1"/>
    <w:rsid w:val="001966BA"/>
    <w:rsid w:val="001B35D2"/>
    <w:rsid w:val="001E2539"/>
    <w:rsid w:val="00200DF5"/>
    <w:rsid w:val="00216A69"/>
    <w:rsid w:val="0022099F"/>
    <w:rsid w:val="00265609"/>
    <w:rsid w:val="002B162C"/>
    <w:rsid w:val="002F1633"/>
    <w:rsid w:val="00331BEA"/>
    <w:rsid w:val="0036644A"/>
    <w:rsid w:val="00385E9A"/>
    <w:rsid w:val="00395C89"/>
    <w:rsid w:val="003B154F"/>
    <w:rsid w:val="003F53A0"/>
    <w:rsid w:val="00401B19"/>
    <w:rsid w:val="004334AB"/>
    <w:rsid w:val="00437413"/>
    <w:rsid w:val="00456F71"/>
    <w:rsid w:val="00493A38"/>
    <w:rsid w:val="004A19AD"/>
    <w:rsid w:val="004D2809"/>
    <w:rsid w:val="005211DD"/>
    <w:rsid w:val="00584785"/>
    <w:rsid w:val="005B7DC8"/>
    <w:rsid w:val="005F3E90"/>
    <w:rsid w:val="00621A97"/>
    <w:rsid w:val="00626D6B"/>
    <w:rsid w:val="0064297C"/>
    <w:rsid w:val="00666790"/>
    <w:rsid w:val="00671D40"/>
    <w:rsid w:val="00690332"/>
    <w:rsid w:val="006F2918"/>
    <w:rsid w:val="00721B58"/>
    <w:rsid w:val="0072709C"/>
    <w:rsid w:val="00736B77"/>
    <w:rsid w:val="00741994"/>
    <w:rsid w:val="007438BF"/>
    <w:rsid w:val="00750CED"/>
    <w:rsid w:val="00774531"/>
    <w:rsid w:val="00783A15"/>
    <w:rsid w:val="00787B43"/>
    <w:rsid w:val="007A318F"/>
    <w:rsid w:val="007A402D"/>
    <w:rsid w:val="007A7061"/>
    <w:rsid w:val="007C40E5"/>
    <w:rsid w:val="007E40CB"/>
    <w:rsid w:val="007F557F"/>
    <w:rsid w:val="00827A1B"/>
    <w:rsid w:val="00844B9B"/>
    <w:rsid w:val="0086007C"/>
    <w:rsid w:val="0086466E"/>
    <w:rsid w:val="00872C22"/>
    <w:rsid w:val="00880669"/>
    <w:rsid w:val="008B4A41"/>
    <w:rsid w:val="008D6291"/>
    <w:rsid w:val="008E3E00"/>
    <w:rsid w:val="009036D1"/>
    <w:rsid w:val="0091372A"/>
    <w:rsid w:val="00923C57"/>
    <w:rsid w:val="00975A44"/>
    <w:rsid w:val="00990212"/>
    <w:rsid w:val="009B4681"/>
    <w:rsid w:val="009E748D"/>
    <w:rsid w:val="009F5194"/>
    <w:rsid w:val="009F6F31"/>
    <w:rsid w:val="00A01876"/>
    <w:rsid w:val="00A45035"/>
    <w:rsid w:val="00A46943"/>
    <w:rsid w:val="00A55F27"/>
    <w:rsid w:val="00A87305"/>
    <w:rsid w:val="00A9121C"/>
    <w:rsid w:val="00A93B7E"/>
    <w:rsid w:val="00A96357"/>
    <w:rsid w:val="00AE0F9C"/>
    <w:rsid w:val="00B0756C"/>
    <w:rsid w:val="00B20041"/>
    <w:rsid w:val="00B26BFB"/>
    <w:rsid w:val="00B56C42"/>
    <w:rsid w:val="00B9334B"/>
    <w:rsid w:val="00B97980"/>
    <w:rsid w:val="00BA4063"/>
    <w:rsid w:val="00BB2645"/>
    <w:rsid w:val="00BB2B24"/>
    <w:rsid w:val="00BB76DE"/>
    <w:rsid w:val="00BC73B1"/>
    <w:rsid w:val="00BE7ED6"/>
    <w:rsid w:val="00C13696"/>
    <w:rsid w:val="00C548D4"/>
    <w:rsid w:val="00C60A54"/>
    <w:rsid w:val="00C7505D"/>
    <w:rsid w:val="00C838C4"/>
    <w:rsid w:val="00C87F78"/>
    <w:rsid w:val="00C94A4B"/>
    <w:rsid w:val="00CC47E9"/>
    <w:rsid w:val="00CD0C2A"/>
    <w:rsid w:val="00D1355D"/>
    <w:rsid w:val="00D20183"/>
    <w:rsid w:val="00D20A03"/>
    <w:rsid w:val="00D2694A"/>
    <w:rsid w:val="00D27F54"/>
    <w:rsid w:val="00D30CD0"/>
    <w:rsid w:val="00D33BCC"/>
    <w:rsid w:val="00D33D94"/>
    <w:rsid w:val="00D377BE"/>
    <w:rsid w:val="00D51360"/>
    <w:rsid w:val="00D51BDB"/>
    <w:rsid w:val="00D53E08"/>
    <w:rsid w:val="00D66938"/>
    <w:rsid w:val="00D73D6A"/>
    <w:rsid w:val="00DA1ACD"/>
    <w:rsid w:val="00DB7C14"/>
    <w:rsid w:val="00DD0C7D"/>
    <w:rsid w:val="00DD7B10"/>
    <w:rsid w:val="00DE1EB7"/>
    <w:rsid w:val="00DE58AF"/>
    <w:rsid w:val="00DF44E0"/>
    <w:rsid w:val="00E136D9"/>
    <w:rsid w:val="00E229A2"/>
    <w:rsid w:val="00E55B1B"/>
    <w:rsid w:val="00E61DA2"/>
    <w:rsid w:val="00EA3617"/>
    <w:rsid w:val="00EB03FC"/>
    <w:rsid w:val="00EC3BB2"/>
    <w:rsid w:val="00EC4B2A"/>
    <w:rsid w:val="00EC6CA9"/>
    <w:rsid w:val="00ED11EC"/>
    <w:rsid w:val="00F20308"/>
    <w:rsid w:val="00F22042"/>
    <w:rsid w:val="00F25277"/>
    <w:rsid w:val="00F32159"/>
    <w:rsid w:val="00F40EB7"/>
    <w:rsid w:val="00F5102B"/>
    <w:rsid w:val="00F670FF"/>
    <w:rsid w:val="00F92D29"/>
    <w:rsid w:val="00FA0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13FEF"/>
  <w15:chartTrackingRefBased/>
  <w15:docId w15:val="{5A07D9C2-08D2-4F1F-B8F5-D2318DDD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1DD"/>
    <w:pPr>
      <w:keepNext/>
      <w:keepLines/>
      <w:spacing w:before="240" w:after="0"/>
      <w:outlineLvl w:val="0"/>
    </w:pPr>
    <w:rPr>
      <w:rFonts w:eastAsiaTheme="majorEastAsia" w:cstheme="minorHAnsi"/>
      <w:b/>
      <w:bCs/>
      <w:sz w:val="24"/>
      <w:szCs w:val="24"/>
    </w:rPr>
  </w:style>
  <w:style w:type="paragraph" w:styleId="Heading2">
    <w:name w:val="heading 2"/>
    <w:basedOn w:val="Normal"/>
    <w:next w:val="Normal"/>
    <w:link w:val="Heading2Char"/>
    <w:uiPriority w:val="9"/>
    <w:unhideWhenUsed/>
    <w:qFormat/>
    <w:rsid w:val="000F41C6"/>
    <w:pPr>
      <w:keepNext/>
      <w:keepLines/>
      <w:spacing w:before="40" w:after="0"/>
      <w:outlineLvl w:val="1"/>
    </w:pPr>
    <w:rPr>
      <w:rFonts w:eastAsiaTheme="majorEastAsia" w:cstheme="minorHAns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1DD"/>
  </w:style>
  <w:style w:type="paragraph" w:styleId="Footer">
    <w:name w:val="footer"/>
    <w:basedOn w:val="Normal"/>
    <w:link w:val="FooterChar"/>
    <w:uiPriority w:val="99"/>
    <w:unhideWhenUsed/>
    <w:rsid w:val="00521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1DD"/>
  </w:style>
  <w:style w:type="table" w:styleId="TableGrid">
    <w:name w:val="Table Grid"/>
    <w:basedOn w:val="TableNormal"/>
    <w:uiPriority w:val="39"/>
    <w:rsid w:val="00521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211DD"/>
    <w:rPr>
      <w:rFonts w:eastAsiaTheme="majorEastAsia" w:cstheme="minorHAnsi"/>
      <w:b/>
      <w:bCs/>
      <w:sz w:val="24"/>
      <w:szCs w:val="24"/>
    </w:rPr>
  </w:style>
  <w:style w:type="character" w:customStyle="1" w:styleId="Heading2Char">
    <w:name w:val="Heading 2 Char"/>
    <w:basedOn w:val="DefaultParagraphFont"/>
    <w:link w:val="Heading2"/>
    <w:uiPriority w:val="9"/>
    <w:rsid w:val="000F41C6"/>
    <w:rPr>
      <w:rFonts w:eastAsiaTheme="majorEastAsia" w:cstheme="minorHAnsi"/>
      <w:b/>
      <w:bCs/>
      <w:u w:val="single"/>
    </w:rPr>
  </w:style>
  <w:style w:type="paragraph" w:styleId="ListParagraph">
    <w:name w:val="List Paragraph"/>
    <w:basedOn w:val="Normal"/>
    <w:uiPriority w:val="34"/>
    <w:qFormat/>
    <w:rsid w:val="00F670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93375">
      <w:bodyDiv w:val="1"/>
      <w:marLeft w:val="0"/>
      <w:marRight w:val="0"/>
      <w:marTop w:val="0"/>
      <w:marBottom w:val="0"/>
      <w:divBdr>
        <w:top w:val="none" w:sz="0" w:space="0" w:color="auto"/>
        <w:left w:val="none" w:sz="0" w:space="0" w:color="auto"/>
        <w:bottom w:val="none" w:sz="0" w:space="0" w:color="auto"/>
        <w:right w:val="none" w:sz="0" w:space="0" w:color="auto"/>
      </w:divBdr>
    </w:div>
    <w:div w:id="338242911">
      <w:bodyDiv w:val="1"/>
      <w:marLeft w:val="0"/>
      <w:marRight w:val="0"/>
      <w:marTop w:val="0"/>
      <w:marBottom w:val="0"/>
      <w:divBdr>
        <w:top w:val="none" w:sz="0" w:space="0" w:color="auto"/>
        <w:left w:val="none" w:sz="0" w:space="0" w:color="auto"/>
        <w:bottom w:val="none" w:sz="0" w:space="0" w:color="auto"/>
        <w:right w:val="none" w:sz="0" w:space="0" w:color="auto"/>
      </w:divBdr>
    </w:div>
    <w:div w:id="764691932">
      <w:bodyDiv w:val="1"/>
      <w:marLeft w:val="0"/>
      <w:marRight w:val="0"/>
      <w:marTop w:val="0"/>
      <w:marBottom w:val="0"/>
      <w:divBdr>
        <w:top w:val="none" w:sz="0" w:space="0" w:color="auto"/>
        <w:left w:val="none" w:sz="0" w:space="0" w:color="auto"/>
        <w:bottom w:val="none" w:sz="0" w:space="0" w:color="auto"/>
        <w:right w:val="none" w:sz="0" w:space="0" w:color="auto"/>
      </w:divBdr>
    </w:div>
    <w:div w:id="1195464027">
      <w:bodyDiv w:val="1"/>
      <w:marLeft w:val="0"/>
      <w:marRight w:val="0"/>
      <w:marTop w:val="0"/>
      <w:marBottom w:val="0"/>
      <w:divBdr>
        <w:top w:val="none" w:sz="0" w:space="0" w:color="auto"/>
        <w:left w:val="none" w:sz="0" w:space="0" w:color="auto"/>
        <w:bottom w:val="none" w:sz="0" w:space="0" w:color="auto"/>
        <w:right w:val="none" w:sz="0" w:space="0" w:color="auto"/>
      </w:divBdr>
    </w:div>
    <w:div w:id="1637221281">
      <w:bodyDiv w:val="1"/>
      <w:marLeft w:val="0"/>
      <w:marRight w:val="0"/>
      <w:marTop w:val="0"/>
      <w:marBottom w:val="0"/>
      <w:divBdr>
        <w:top w:val="none" w:sz="0" w:space="0" w:color="auto"/>
        <w:left w:val="none" w:sz="0" w:space="0" w:color="auto"/>
        <w:bottom w:val="none" w:sz="0" w:space="0" w:color="auto"/>
        <w:right w:val="none" w:sz="0" w:space="0" w:color="auto"/>
      </w:divBdr>
      <w:divsChild>
        <w:div w:id="479346003">
          <w:marLeft w:val="720"/>
          <w:marRight w:val="0"/>
          <w:marTop w:val="200"/>
          <w:marBottom w:val="0"/>
          <w:divBdr>
            <w:top w:val="none" w:sz="0" w:space="0" w:color="auto"/>
            <w:left w:val="none" w:sz="0" w:space="0" w:color="auto"/>
            <w:bottom w:val="none" w:sz="0" w:space="0" w:color="auto"/>
            <w:right w:val="none" w:sz="0" w:space="0" w:color="auto"/>
          </w:divBdr>
        </w:div>
        <w:div w:id="1853837914">
          <w:marLeft w:val="720"/>
          <w:marRight w:val="0"/>
          <w:marTop w:val="200"/>
          <w:marBottom w:val="0"/>
          <w:divBdr>
            <w:top w:val="none" w:sz="0" w:space="0" w:color="auto"/>
            <w:left w:val="none" w:sz="0" w:space="0" w:color="auto"/>
            <w:bottom w:val="none" w:sz="0" w:space="0" w:color="auto"/>
            <w:right w:val="none" w:sz="0" w:space="0" w:color="auto"/>
          </w:divBdr>
        </w:div>
      </w:divsChild>
    </w:div>
    <w:div w:id="17145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5DC5-D381-4C1D-8827-3047461F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Unger, Michael  (Employee)</dc:creator>
  <cp:keywords/>
  <dc:description/>
  <cp:lastModifiedBy>Derek Buster</cp:lastModifiedBy>
  <cp:revision>3</cp:revision>
  <dcterms:created xsi:type="dcterms:W3CDTF">2026-01-17T15:52:00Z</dcterms:created>
  <dcterms:modified xsi:type="dcterms:W3CDTF">2026-01-17T16:08:00Z</dcterms:modified>
</cp:coreProperties>
</file>